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1D" w:rsidRPr="0065181D" w:rsidRDefault="0065181D" w:rsidP="006518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18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Кейс по микроэкономике №1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ситуация на рынке автомобилей в стране N. В 2016 году в стране наблюдался резкий спад экономики. 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агентство предполагало 15−процентный рост продаж иномарок на рынке данной страны. По мнению специалистов, увеличение показателей должно было быть обусловлено ростом уровня реализации иномарок «местной» сборки. В 2016 году в стране N было продано 2,011 млн иномарок. Это на 65% меньше показателей 2015 года и соответствует уровню 2010 года. 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 спроса на иномарки в 2016 году составил 2,9% и меньше всего коснулся продаж дорогих автомобилей премиум-сегмента и наиболее бюджетных машин. Спрос на автомобили наиболее бюджетных машин повысился, то есть спрос сместился в более низкий ценовой сегмент, но изменения не коснулись премиум-сегмента.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2016 год средняя цена каждой проданной иномарки снизилась на 2% и составила 35 тыс. долларов. На 2017 год эксперты прогнозируют аналогичные тенденции, однако допускают возможность дефицита тех или иных моделей, поскольку «в своих заявках дилеры проявили осторожность и заказали минимальное количество автомобилей, ориентируясь на уровень продаж прошлого года». 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января консалтинговая компания прогнозировала объем авторынка в 2017 году на уровне 1,1−1,3 млн машин. Оптимистичный сценарий предусматривает рост рыночных показателей автомобильного рынка на 12%, пессимистичный – спад на 7%. Ассоциация автомобильного бизнеса считает возможной продажу в 2017 году 1,2 млн штук новых легковых и легких коммерческих автомобилей. При этом крупнейшая зарубежная автомобильная компания, действующая на этом рынке, рассчитывает реализовать 1,4 млн автомобилей.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спрос на иномарки в 2016 г. упал на 2,9%, то чем можно объяснить сокращение их продаж за этот год на 65%?</w:t>
      </w:r>
    </w:p>
    <w:p w:rsidR="004B7073" w:rsidRDefault="004B7073"/>
    <w:p w:rsidR="0065181D" w:rsidRDefault="0065181D" w:rsidP="0065181D">
      <w:pPr>
        <w:pStyle w:val="2"/>
      </w:pPr>
      <w:r>
        <w:t>Кейс по микроэкономике №2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спортивном центре университета теннисные корты обычно загружены на 60%. Ими пользуются в одинаковой степени преподаватели и студенты. Стоимость для преподавателей – 20 долл. в час, а для студентов – 10 долл. в час. 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спрос преподавателей совершенно неэластичен, т.е. при некотором процентном изменении цены величина спроса на товар изменяется в меньшей степени, чем цена.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 студентов эластичен по цене, т.е. при некотором процентном изменении цены величина спроса на товар изменяется в большей степени, чем цена. 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клуба планирует увеличить посещаемость кортов, а также выручку. Для этого он рассматривает две возможности: </w:t>
      </w:r>
    </w:p>
    <w:p w:rsidR="0065181D" w:rsidRPr="0065181D" w:rsidRDefault="0065181D" w:rsidP="00651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Установить единую для всех цену 15 долл. за час. </w:t>
      </w:r>
    </w:p>
    <w:p w:rsidR="0065181D" w:rsidRPr="0065181D" w:rsidRDefault="0065181D" w:rsidP="00651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плату для преподавателей до $25 в час и снизить ее для студентов до $5.</w:t>
      </w:r>
    </w:p>
    <w:p w:rsidR="0065181D" w:rsidRPr="0065181D" w:rsidRDefault="0065181D" w:rsidP="0065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какой из этих вариантов может принести желаемый результат и почему.</w:t>
      </w:r>
    </w:p>
    <w:p w:rsidR="0065181D" w:rsidRDefault="0065181D">
      <w:bookmarkStart w:id="0" w:name="_GoBack"/>
      <w:bookmarkEnd w:id="0"/>
    </w:p>
    <w:sectPr w:rsidR="0065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3A17"/>
    <w:multiLevelType w:val="multilevel"/>
    <w:tmpl w:val="9420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4C"/>
    <w:rsid w:val="000A464C"/>
    <w:rsid w:val="004B7073"/>
    <w:rsid w:val="0065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0CD9"/>
  <w15:chartTrackingRefBased/>
  <w15:docId w15:val="{0C03F467-9DA5-4900-8440-B9F40E31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8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2021-10-20T12:07:00Z</dcterms:created>
  <dcterms:modified xsi:type="dcterms:W3CDTF">2021-10-20T12:08:00Z</dcterms:modified>
</cp:coreProperties>
</file>